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sz w:val="20"/>
          <w:szCs w:val="20"/>
          <w:lang w:val="en-US" w:eastAsia="zh-CN"/>
        </w:rPr>
      </w:pPr>
    </w:p>
    <w:p>
      <w:pPr>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济源市“谁执法谁普法、谁主管谁普法”普法责任清单</w:t>
      </w:r>
    </w:p>
    <w:tbl>
      <w:tblPr>
        <w:tblW w:w="21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455"/>
        <w:gridCol w:w="11188"/>
        <w:gridCol w:w="1776"/>
        <w:gridCol w:w="2880"/>
        <w:gridCol w:w="2122"/>
        <w:gridCol w:w="960"/>
        <w:gridCol w:w="716"/>
      </w:tblGrid>
      <w:tr>
        <w:tc>
          <w:tcPr>
            <w:tcW w:w="611" w:type="dxa"/>
            <w:vAlign w:val="center"/>
          </w:tcPr>
          <w:p>
            <w:pPr>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单位</w:t>
            </w:r>
          </w:p>
        </w:tc>
        <w:tc>
          <w:tcPr>
            <w:tcW w:w="12643" w:type="dxa"/>
            <w:gridSpan w:val="2"/>
            <w:vAlign w:val="center"/>
          </w:tcPr>
          <w:p>
            <w:pPr>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普</w:t>
            </w:r>
            <w:r>
              <w:rPr>
                <w:rFonts w:hint="eastAsia" w:ascii="黑体" w:hAnsi="黑体" w:eastAsia="黑体" w:cs="黑体"/>
                <w:sz w:val="24"/>
                <w:szCs w:val="24"/>
                <w:lang w:val="en-US" w:eastAsia="zh-CN"/>
              </w:rPr>
              <w:t xml:space="preserve">    </w:t>
            </w:r>
            <w:r>
              <w:rPr>
                <w:rFonts w:hint="eastAsia" w:ascii="黑体" w:hAnsi="黑体" w:eastAsia="黑体" w:cs="黑体"/>
                <w:sz w:val="24"/>
                <w:szCs w:val="24"/>
                <w:lang w:eastAsia="zh-CN"/>
              </w:rPr>
              <w:t>法</w:t>
            </w:r>
            <w:r>
              <w:rPr>
                <w:rFonts w:hint="eastAsia" w:ascii="黑体" w:hAnsi="黑体" w:eastAsia="黑体" w:cs="黑体"/>
                <w:sz w:val="24"/>
                <w:szCs w:val="24"/>
                <w:lang w:val="en-US" w:eastAsia="zh-CN"/>
              </w:rPr>
              <w:t xml:space="preserve">    </w:t>
            </w:r>
            <w:r>
              <w:rPr>
                <w:rFonts w:hint="eastAsia" w:ascii="黑体" w:hAnsi="黑体" w:eastAsia="黑体" w:cs="黑体"/>
                <w:sz w:val="24"/>
                <w:szCs w:val="24"/>
                <w:lang w:eastAsia="zh-CN"/>
              </w:rPr>
              <w:t>内</w:t>
            </w:r>
            <w:r>
              <w:rPr>
                <w:rFonts w:hint="eastAsia" w:ascii="黑体" w:hAnsi="黑体" w:eastAsia="黑体" w:cs="黑体"/>
                <w:sz w:val="24"/>
                <w:szCs w:val="24"/>
                <w:lang w:val="en-US" w:eastAsia="zh-CN"/>
              </w:rPr>
              <w:t xml:space="preserve">    </w:t>
            </w:r>
            <w:r>
              <w:rPr>
                <w:rFonts w:hint="eastAsia" w:ascii="黑体" w:hAnsi="黑体" w:eastAsia="黑体" w:cs="黑体"/>
                <w:sz w:val="24"/>
                <w:szCs w:val="24"/>
                <w:lang w:eastAsia="zh-CN"/>
              </w:rPr>
              <w:t>容</w:t>
            </w:r>
          </w:p>
        </w:tc>
        <w:tc>
          <w:tcPr>
            <w:tcW w:w="1776" w:type="dxa"/>
            <w:vAlign w:val="center"/>
          </w:tcPr>
          <w:p>
            <w:pPr>
              <w:widowControl/>
              <w:jc w:val="center"/>
              <w:textAlignment w:val="center"/>
              <w:rPr>
                <w:rFonts w:hint="eastAsia" w:ascii="宋体" w:hAnsi="宋体" w:eastAsia="宋体" w:cs="宋体"/>
                <w:sz w:val="18"/>
                <w:szCs w:val="18"/>
              </w:rPr>
            </w:pPr>
            <w:r>
              <w:rPr>
                <w:rFonts w:hint="eastAsia" w:ascii="黑体" w:hAnsi="宋体" w:eastAsia="黑体" w:cs="黑体"/>
                <w:i w:val="0"/>
                <w:color w:val="000000"/>
                <w:kern w:val="0"/>
                <w:sz w:val="24"/>
                <w:szCs w:val="24"/>
                <w:u w:val="none"/>
                <w:lang w:val="en-US" w:eastAsia="zh-CN"/>
              </w:rPr>
              <w:t>普法对象</w:t>
            </w:r>
          </w:p>
        </w:tc>
        <w:tc>
          <w:tcPr>
            <w:tcW w:w="2880" w:type="dxa"/>
            <w:vAlign w:val="center"/>
          </w:tcPr>
          <w:p>
            <w:pPr>
              <w:widowControl/>
              <w:jc w:val="center"/>
              <w:textAlignment w:val="center"/>
              <w:rPr>
                <w:rFonts w:hint="eastAsia" w:ascii="宋体" w:hAnsi="宋体" w:eastAsia="宋体" w:cs="宋体"/>
                <w:sz w:val="18"/>
                <w:szCs w:val="18"/>
              </w:rPr>
            </w:pPr>
            <w:r>
              <w:rPr>
                <w:rFonts w:hint="eastAsia" w:ascii="黑体" w:hAnsi="宋体" w:eastAsia="黑体" w:cs="黑体"/>
                <w:i w:val="0"/>
                <w:color w:val="000000"/>
                <w:kern w:val="0"/>
                <w:sz w:val="24"/>
                <w:szCs w:val="24"/>
                <w:u w:val="none"/>
                <w:lang w:val="en-US" w:eastAsia="zh-CN"/>
              </w:rPr>
              <w:t>普法措施</w:t>
            </w:r>
          </w:p>
        </w:tc>
        <w:tc>
          <w:tcPr>
            <w:tcW w:w="2122" w:type="dxa"/>
            <w:vAlign w:val="center"/>
          </w:tcPr>
          <w:p>
            <w:pPr>
              <w:widowControl/>
              <w:jc w:val="center"/>
              <w:textAlignment w:val="center"/>
              <w:rPr>
                <w:rFonts w:hint="eastAsia" w:ascii="宋体" w:hAnsi="宋体" w:eastAsia="宋体" w:cs="宋体"/>
                <w:sz w:val="18"/>
                <w:szCs w:val="18"/>
              </w:rPr>
            </w:pPr>
            <w:r>
              <w:rPr>
                <w:rFonts w:hint="eastAsia" w:ascii="黑体" w:hAnsi="宋体" w:eastAsia="黑体" w:cs="黑体"/>
                <w:i w:val="0"/>
                <w:color w:val="000000"/>
                <w:kern w:val="0"/>
                <w:sz w:val="24"/>
                <w:szCs w:val="24"/>
                <w:u w:val="none"/>
                <w:lang w:val="en-US" w:eastAsia="zh-CN"/>
              </w:rPr>
              <w:t>普法目标</w:t>
            </w:r>
          </w:p>
        </w:tc>
        <w:tc>
          <w:tcPr>
            <w:tcW w:w="960" w:type="dxa"/>
            <w:vAlign w:val="center"/>
          </w:tcPr>
          <w:p>
            <w:pPr>
              <w:widowControl/>
              <w:jc w:val="center"/>
              <w:textAlignment w:val="center"/>
              <w:rPr>
                <w:rFonts w:hint="eastAsia" w:ascii="宋体" w:hAnsi="宋体" w:eastAsia="宋体" w:cs="宋体"/>
                <w:sz w:val="18"/>
                <w:szCs w:val="18"/>
              </w:rPr>
            </w:pPr>
            <w:r>
              <w:rPr>
                <w:rFonts w:hint="eastAsia" w:ascii="黑体" w:hAnsi="宋体" w:eastAsia="黑体" w:cs="黑体"/>
                <w:i w:val="0"/>
                <w:color w:val="000000"/>
                <w:kern w:val="0"/>
                <w:sz w:val="24"/>
                <w:szCs w:val="24"/>
                <w:u w:val="none"/>
                <w:lang w:val="en-US" w:eastAsia="zh-CN"/>
              </w:rPr>
              <w:t>责任人</w:t>
            </w:r>
          </w:p>
        </w:tc>
        <w:tc>
          <w:tcPr>
            <w:tcW w:w="716" w:type="dxa"/>
            <w:vAlign w:val="center"/>
          </w:tcPr>
          <w:p>
            <w:pPr>
              <w:widowControl/>
              <w:jc w:val="center"/>
              <w:textAlignment w:val="center"/>
              <w:rPr>
                <w:rFonts w:hint="eastAsia" w:ascii="宋体" w:hAnsi="宋体" w:eastAsia="宋体" w:cs="宋体"/>
                <w:sz w:val="18"/>
                <w:szCs w:val="18"/>
              </w:rPr>
            </w:pPr>
            <w:r>
              <w:rPr>
                <w:rFonts w:hint="eastAsia" w:ascii="黑体" w:hAnsi="宋体" w:eastAsia="黑体" w:cs="黑体"/>
                <w:i w:val="0"/>
                <w:color w:val="000000"/>
                <w:kern w:val="0"/>
                <w:sz w:val="24"/>
                <w:szCs w:val="24"/>
                <w:u w:val="none"/>
                <w:lang w:val="en-US" w:eastAsia="zh-CN"/>
              </w:rPr>
              <w:t>备注</w:t>
            </w:r>
          </w:p>
        </w:tc>
      </w:tr>
      <w:tr>
        <w:trPr>
          <w:trHeight w:val="5680" w:hRule="atLeast"/>
        </w:trPr>
        <w:tc>
          <w:tcPr>
            <w:tcW w:w="611" w:type="dxa"/>
            <w:vMerge w:val="restart"/>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济源市卫生和计划生育委员会</w:t>
            </w:r>
          </w:p>
        </w:tc>
        <w:tc>
          <w:tcPr>
            <w:tcW w:w="1455" w:type="dxa"/>
            <w:tcBorders>
              <w:bottom w:val="single" w:color="000000"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法律及司法</w:t>
            </w:r>
          </w:p>
          <w:p>
            <w:pPr>
              <w:jc w:val="center"/>
              <w:rPr>
                <w:rFonts w:hint="eastAsia" w:ascii="宋体" w:hAnsi="宋体" w:eastAsia="宋体" w:cs="宋体"/>
                <w:sz w:val="20"/>
                <w:szCs w:val="20"/>
              </w:rPr>
            </w:pPr>
            <w:r>
              <w:rPr>
                <w:rFonts w:hint="eastAsia" w:ascii="宋体" w:hAnsi="宋体" w:eastAsia="宋体" w:cs="宋体"/>
                <w:sz w:val="20"/>
                <w:szCs w:val="20"/>
              </w:rPr>
              <w:t>解释类</w:t>
            </w:r>
          </w:p>
        </w:tc>
        <w:tc>
          <w:tcPr>
            <w:tcW w:w="11188" w:type="dxa"/>
            <w:vAlign w:val="center"/>
          </w:tcPr>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1.《中华人民共和国宪法》（现行宪法为1982年宪法，并历经1988年、1993年、1999年、2004年四次修订）</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2.《中华人民共和国行政许可法》（2003年8月27日中华人民共和国第十届全国人民代表大会常务委员会第四次会议通过，2004年7月1日起施行）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3.《中华人民共和国行政处罚法》（1996年3月17日中华人民共和国第八届全国人民代表大会第四次会议通过，自1996年10月1日起施行）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4.《中华人民共和国行政强制法》2011年6月30日中华人民共和国第十一届全国人民代表大会常务委员会第二十一次会议通过，自2012年1月1日起施行）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5.《中华人民共和国献血法》（1997年12月29日中华人民共和国第八届全国人民代表大会常务委员会第二十九次会议通过，自1998年10月1日起施行）</w:t>
            </w:r>
          </w:p>
          <w:p>
            <w:pPr>
              <w:widowControl/>
              <w:wordWrap/>
              <w:adjustRightInd/>
              <w:snapToGrid/>
              <w:spacing w:line="260" w:lineRule="exact"/>
              <w:ind w:left="105" w:leftChars="50" w:right="105" w:rightChars="50" w:firstLine="376" w:firstLineChars="200"/>
              <w:jc w:val="both"/>
              <w:textAlignment w:val="top"/>
              <w:outlineLvl w:val="9"/>
              <w:rPr>
                <w:rFonts w:hint="eastAsia" w:ascii="宋体" w:hAnsi="宋体" w:eastAsia="宋体" w:cs="宋体"/>
                <w:spacing w:val="-6"/>
                <w:sz w:val="20"/>
                <w:szCs w:val="20"/>
              </w:rPr>
            </w:pPr>
            <w:r>
              <w:rPr>
                <w:rFonts w:hint="eastAsia" w:ascii="宋体" w:hAnsi="宋体" w:eastAsia="宋体" w:cs="宋体"/>
                <w:spacing w:val="-6"/>
                <w:sz w:val="20"/>
                <w:szCs w:val="20"/>
              </w:rPr>
              <w:t>6.《中华人民共和国中医药法》（2016年12月25日全国人民代表大会常务委员会发布，自2017年7月1日起施行）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 xml:space="preserve">7.《中华人民共和国传染病防治法》(1989年2月21日第七届全国人民代表大会常务委员会第六次会议通过,2013年6月29日第十二届全国人民代表大会常务委员会第三次会议修正)                                                                      </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8.《中华人民共和国人口与计划生育法》（2001年12月29日第九届全国人民代表大会常务委员会第二十五次会议通过,2015年12月27日第十二届全国人民代表大会常务委员会第十八次会议修正）</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9.《中华人民共和国精神卫生法》（2012年10月26日全国人民代表大会常务委员会发布，自2013年5月1日起施行）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 xml:space="preserve">10.《中华人民共和国职业病防治法》（2001年10月27日第九届全国人民代表大会常务委员会第二十四次会议通过,2016年7月2日第十二届全国人民代表大会常务委员会第二十一次会议第二次修正）                                                    </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11.《中华人民共和国母婴保健法》（1994年10月27日中华人民共和国第八届全国人民代表大会常务委员会第十次会议通过,自1995年6月1日起施行）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 xml:space="preserve">12.《中华人民共和国执业医师法》（1998年6月26日中华人民共和国第九届全国人民代表大会常务委员会第三次会议于1998年6月26日修订通过，自1999年5月1日起施行）             </w:t>
            </w:r>
          </w:p>
        </w:tc>
        <w:tc>
          <w:tcPr>
            <w:tcW w:w="1776" w:type="dxa"/>
            <w:vMerge w:val="restart"/>
            <w:vAlign w:val="center"/>
          </w:tcPr>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1</w:t>
            </w:r>
            <w:r>
              <w:rPr>
                <w:rFonts w:hint="eastAsia" w:ascii="宋体" w:hAnsi="宋体" w:cs="宋体"/>
                <w:sz w:val="20"/>
                <w:szCs w:val="20"/>
                <w:lang w:val="en-US" w:eastAsia="zh-CN"/>
              </w:rPr>
              <w:t>.</w:t>
            </w:r>
            <w:r>
              <w:rPr>
                <w:rFonts w:hint="eastAsia" w:ascii="宋体" w:hAnsi="宋体" w:eastAsia="宋体" w:cs="宋体"/>
                <w:sz w:val="20"/>
                <w:szCs w:val="20"/>
              </w:rPr>
              <w:t>系统内普法对象：市卫生计生委的全体工作人员，重点为承担具体业务的相关工作人员等。</w:t>
            </w:r>
          </w:p>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2</w:t>
            </w:r>
            <w:r>
              <w:rPr>
                <w:rFonts w:hint="eastAsia" w:ascii="宋体" w:hAnsi="宋体" w:cs="宋体"/>
                <w:sz w:val="20"/>
                <w:szCs w:val="20"/>
                <w:lang w:val="en-US" w:eastAsia="zh-CN"/>
              </w:rPr>
              <w:t>.</w:t>
            </w:r>
            <w:r>
              <w:rPr>
                <w:rFonts w:hint="eastAsia" w:ascii="宋体" w:hAnsi="宋体" w:eastAsia="宋体" w:cs="宋体"/>
                <w:sz w:val="20"/>
                <w:szCs w:val="20"/>
              </w:rPr>
              <w:t>系统外普法对象：影响其权益的相对人以及社会公众，重点为医生、护士、孕妇、献血者等执法、管理、服务对象等。</w:t>
            </w:r>
          </w:p>
        </w:tc>
        <w:tc>
          <w:tcPr>
            <w:tcW w:w="2880" w:type="dxa"/>
            <w:vMerge w:val="restart"/>
            <w:vAlign w:val="center"/>
          </w:tcPr>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p>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p>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p>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1</w:t>
            </w:r>
            <w:r>
              <w:rPr>
                <w:rFonts w:hint="eastAsia" w:ascii="宋体" w:hAnsi="宋体" w:cs="宋体"/>
                <w:sz w:val="20"/>
                <w:szCs w:val="20"/>
                <w:lang w:val="en-US" w:eastAsia="zh-CN"/>
              </w:rPr>
              <w:t>.</w:t>
            </w:r>
            <w:r>
              <w:rPr>
                <w:rFonts w:hint="eastAsia" w:ascii="宋体" w:hAnsi="宋体" w:eastAsia="宋体" w:cs="宋体"/>
                <w:sz w:val="20"/>
                <w:szCs w:val="20"/>
              </w:rPr>
              <w:t>机关门户网站、微信公众号、广播电台、报纸、电视、法治游园、法治走廊、12.4国家宪法宣传日、打击非法行医宣传月等形式宣传学习。</w:t>
            </w:r>
          </w:p>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2</w:t>
            </w:r>
            <w:r>
              <w:rPr>
                <w:rFonts w:hint="eastAsia" w:ascii="宋体" w:hAnsi="宋体" w:cs="宋体"/>
                <w:sz w:val="20"/>
                <w:szCs w:val="20"/>
                <w:lang w:val="en-US" w:eastAsia="zh-CN"/>
              </w:rPr>
              <w:t>.</w:t>
            </w:r>
            <w:r>
              <w:rPr>
                <w:rFonts w:hint="eastAsia" w:ascii="宋体" w:hAnsi="宋体" w:eastAsia="宋体" w:cs="宋体"/>
                <w:sz w:val="20"/>
                <w:szCs w:val="20"/>
              </w:rPr>
              <w:t>每年5.12日开展“国际护士节” 活动，采取多种形式组织学习和宣传贯彻《护士条例》，维护护士的合法权益。　　　　　　　　　　　　　　　　　　　　　　　　　　　　　　　　　　　</w:t>
            </w:r>
          </w:p>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3</w:t>
            </w:r>
            <w:r>
              <w:rPr>
                <w:rFonts w:hint="eastAsia" w:ascii="宋体" w:hAnsi="宋体" w:cs="宋体"/>
                <w:sz w:val="20"/>
                <w:szCs w:val="20"/>
                <w:lang w:val="en-US" w:eastAsia="zh-CN"/>
              </w:rPr>
              <w:t>.</w:t>
            </w:r>
            <w:r>
              <w:rPr>
                <w:rFonts w:hint="eastAsia" w:ascii="宋体" w:hAnsi="宋体" w:eastAsia="宋体" w:cs="宋体"/>
                <w:sz w:val="20"/>
                <w:szCs w:val="20"/>
              </w:rPr>
              <w:t>每年6.14开展“世界献血者日”活动、采取微信公众号、宣传片、宣传版面、车体广告、广播电台、济源晨报等形式宣传无偿献血有关法律法规知识。                   　　　　　　　　　</w:t>
            </w:r>
          </w:p>
          <w:p>
            <w:pPr>
              <w:widowControl/>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4</w:t>
            </w:r>
            <w:r>
              <w:rPr>
                <w:rFonts w:hint="eastAsia" w:ascii="宋体" w:hAnsi="宋体" w:cs="宋体"/>
                <w:sz w:val="20"/>
                <w:szCs w:val="20"/>
                <w:lang w:val="en-US" w:eastAsia="zh-CN"/>
              </w:rPr>
              <w:t>.</w:t>
            </w:r>
            <w:r>
              <w:rPr>
                <w:rFonts w:hint="eastAsia" w:ascii="宋体" w:hAnsi="宋体" w:eastAsia="宋体" w:cs="宋体"/>
                <w:sz w:val="20"/>
                <w:szCs w:val="20"/>
              </w:rPr>
              <w:t>2017年计划以三班轮换的方式对全市乡村医生开展基本公卫项目培训，会上将进行普法学习；要求16个社区卫生服务机构将普法培训纳入日常培训。</w:t>
            </w:r>
          </w:p>
          <w:p>
            <w:pPr>
              <w:widowControl/>
              <w:numPr>
                <w:ilvl w:val="0"/>
                <w:numId w:val="1"/>
              </w:numPr>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开展“携手抗艾，重在预防”为主题的宣传活动，活动采取集中宣传、走进社区等形式通过摆放展板、发放宣传资料、接受在校学生咨询等形式进行</w:t>
            </w:r>
            <w:r>
              <w:rPr>
                <w:rFonts w:hint="eastAsia" w:ascii="宋体" w:hAnsi="宋体" w:cs="宋体"/>
                <w:sz w:val="20"/>
                <w:szCs w:val="20"/>
                <w:lang w:eastAsia="zh-CN"/>
              </w:rPr>
              <w:t>。</w:t>
            </w:r>
            <w:r>
              <w:rPr>
                <w:rFonts w:hint="eastAsia" w:ascii="宋体" w:hAnsi="宋体" w:eastAsia="宋体" w:cs="宋体"/>
                <w:sz w:val="20"/>
                <w:szCs w:val="20"/>
              </w:rPr>
              <w:t xml:space="preserve"> 　　　　　　　　　　                     </w:t>
            </w:r>
          </w:p>
          <w:p>
            <w:pPr>
              <w:widowControl/>
              <w:numPr>
                <w:numId w:val="0"/>
              </w:numPr>
              <w:wordWrap/>
              <w:adjustRightInd/>
              <w:snapToGrid/>
              <w:spacing w:line="340" w:lineRule="exact"/>
              <w:ind w:right="105" w:rightChars="50"/>
              <w:jc w:val="both"/>
              <w:textAlignment w:val="center"/>
              <w:outlineLvl w:val="9"/>
              <w:rPr>
                <w:rFonts w:hint="eastAsia" w:ascii="宋体" w:hAnsi="宋体" w:eastAsia="宋体" w:cs="宋体"/>
                <w:sz w:val="20"/>
                <w:szCs w:val="20"/>
              </w:rPr>
            </w:pPr>
          </w:p>
          <w:p>
            <w:pPr>
              <w:widowControl/>
              <w:numPr>
                <w:numId w:val="0"/>
              </w:numPr>
              <w:wordWrap/>
              <w:adjustRightInd/>
              <w:snapToGrid/>
              <w:spacing w:line="340" w:lineRule="exact"/>
              <w:ind w:leftChars="250" w:right="105" w:rightChars="50"/>
              <w:jc w:val="both"/>
              <w:textAlignment w:val="center"/>
              <w:outlineLvl w:val="9"/>
              <w:rPr>
                <w:rFonts w:hint="eastAsia" w:ascii="宋体" w:hAnsi="宋体" w:eastAsia="宋体" w:cs="宋体"/>
                <w:sz w:val="20"/>
                <w:szCs w:val="20"/>
              </w:rPr>
            </w:pPr>
          </w:p>
          <w:p>
            <w:pPr>
              <w:widowControl/>
              <w:numPr>
                <w:numId w:val="0"/>
              </w:numPr>
              <w:wordWrap/>
              <w:adjustRightInd/>
              <w:snapToGrid/>
              <w:spacing w:line="340" w:lineRule="exact"/>
              <w:ind w:leftChars="250" w:right="105" w:rightChars="50"/>
              <w:jc w:val="both"/>
              <w:textAlignment w:val="center"/>
              <w:outlineLvl w:val="9"/>
              <w:rPr>
                <w:rFonts w:hint="eastAsia" w:ascii="宋体" w:hAnsi="宋体" w:eastAsia="宋体" w:cs="宋体"/>
                <w:sz w:val="20"/>
                <w:szCs w:val="20"/>
              </w:rPr>
            </w:pPr>
          </w:p>
          <w:p>
            <w:pPr>
              <w:widowControl/>
              <w:numPr>
                <w:numId w:val="0"/>
              </w:numPr>
              <w:wordWrap/>
              <w:adjustRightInd/>
              <w:snapToGrid/>
              <w:spacing w:line="340" w:lineRule="exact"/>
              <w:ind w:leftChars="250" w:right="105" w:rightChars="50"/>
              <w:jc w:val="both"/>
              <w:textAlignment w:val="center"/>
              <w:outlineLvl w:val="9"/>
              <w:rPr>
                <w:rFonts w:hint="eastAsia" w:ascii="宋体" w:hAnsi="宋体" w:eastAsia="宋体" w:cs="宋体"/>
                <w:sz w:val="20"/>
                <w:szCs w:val="20"/>
              </w:rPr>
            </w:pPr>
          </w:p>
          <w:p>
            <w:pPr>
              <w:widowControl/>
              <w:numPr>
                <w:numId w:val="0"/>
              </w:numPr>
              <w:wordWrap/>
              <w:adjustRightInd/>
              <w:snapToGrid/>
              <w:spacing w:line="340" w:lineRule="exact"/>
              <w:ind w:right="105" w:rightChars="50"/>
              <w:jc w:val="both"/>
              <w:textAlignment w:val="center"/>
              <w:outlineLvl w:val="9"/>
              <w:rPr>
                <w:rFonts w:hint="eastAsia" w:ascii="宋体" w:hAnsi="宋体" w:eastAsia="宋体" w:cs="宋体"/>
                <w:sz w:val="20"/>
                <w:szCs w:val="20"/>
              </w:rPr>
            </w:pPr>
          </w:p>
          <w:p>
            <w:pPr>
              <w:widowControl/>
              <w:numPr>
                <w:ilvl w:val="0"/>
                <w:numId w:val="1"/>
              </w:numPr>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 xml:space="preserve">开展预防接种集中宣传，通过悬挂横幅、摆放宣传版面，发放宣传品等形式进行。活动主题：规范疫苗接种，共建健康中国。定期对各预防接种门诊工作人员开展疫苗流通和预防接种培训。     </w:t>
            </w:r>
          </w:p>
          <w:p>
            <w:pPr>
              <w:widowControl/>
              <w:numPr>
                <w:ilvl w:val="0"/>
                <w:numId w:val="1"/>
              </w:numPr>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开展职业病防治法宣传周活动，活动采取集中宣传向广大劳动者和市民深入宣传了《职业病防治法》等法律法规和配套规章及标准。宣传周主题为“健康中国，职业健康先行”。</w:t>
            </w:r>
          </w:p>
          <w:p>
            <w:pPr>
              <w:widowControl/>
              <w:numPr>
                <w:ilvl w:val="0"/>
                <w:numId w:val="1"/>
              </w:numPr>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开展以“宣传计划生育法律法规、促进人口长期均衡发展”“关爱女孩 打击“两非” 男女平等  幸福人生”为主题的宣传活动。现场通过设置咨询台、展出宣传板面等形式进行。</w:t>
            </w:r>
          </w:p>
        </w:tc>
        <w:tc>
          <w:tcPr>
            <w:tcW w:w="2122" w:type="dxa"/>
            <w:vMerge w:val="restart"/>
            <w:vAlign w:val="center"/>
          </w:tcPr>
          <w:p>
            <w:pPr>
              <w:widowControl/>
              <w:numPr>
                <w:numId w:val="0"/>
              </w:numPr>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1.领导班子严格执法，无违法违纪现象。</w:t>
            </w:r>
          </w:p>
          <w:p>
            <w:pPr>
              <w:widowControl/>
              <w:numPr>
                <w:numId w:val="0"/>
              </w:numPr>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2.行政执法人员依法行政能力显著提高。</w:t>
            </w:r>
          </w:p>
          <w:p>
            <w:pPr>
              <w:widowControl/>
              <w:numPr>
                <w:numId w:val="0"/>
              </w:numPr>
              <w:wordWrap/>
              <w:adjustRightInd/>
              <w:snapToGrid/>
              <w:spacing w:line="340" w:lineRule="exact"/>
              <w:ind w:left="105" w:leftChars="50" w:right="105" w:rightChars="50" w:firstLine="400" w:firstLineChars="200"/>
              <w:jc w:val="both"/>
              <w:textAlignment w:val="center"/>
              <w:outlineLvl w:val="9"/>
              <w:rPr>
                <w:rFonts w:hint="eastAsia" w:ascii="宋体" w:hAnsi="宋体" w:eastAsia="宋体" w:cs="宋体"/>
                <w:sz w:val="20"/>
                <w:szCs w:val="20"/>
              </w:rPr>
            </w:pPr>
            <w:r>
              <w:rPr>
                <w:rFonts w:hint="eastAsia" w:ascii="宋体" w:hAnsi="宋体" w:eastAsia="宋体" w:cs="宋体"/>
                <w:sz w:val="20"/>
                <w:szCs w:val="20"/>
              </w:rPr>
              <w:t>3.执法相对人及管理相对人乃至社会公众法律素质逐步提高。</w:t>
            </w:r>
          </w:p>
        </w:tc>
        <w:tc>
          <w:tcPr>
            <w:tcW w:w="960" w:type="dxa"/>
            <w:vMerge w:val="restart"/>
            <w:vAlign w:val="center"/>
          </w:tcPr>
          <w:p>
            <w:pPr>
              <w:jc w:val="center"/>
              <w:rPr>
                <w:rFonts w:hint="eastAsia" w:ascii="宋体" w:hAnsi="宋体" w:eastAsia="宋体" w:cs="宋体"/>
                <w:sz w:val="20"/>
                <w:szCs w:val="20"/>
                <w:lang w:eastAsia="zh-CN"/>
              </w:rPr>
            </w:pPr>
            <w:r>
              <w:rPr>
                <w:rFonts w:hint="eastAsia" w:ascii="宋体" w:hAnsi="宋体" w:cs="宋体"/>
                <w:sz w:val="20"/>
                <w:szCs w:val="20"/>
                <w:lang w:eastAsia="zh-CN"/>
              </w:rPr>
              <w:t>李社会</w:t>
            </w:r>
          </w:p>
        </w:tc>
        <w:tc>
          <w:tcPr>
            <w:tcW w:w="716" w:type="dxa"/>
            <w:vMerge w:val="restart"/>
            <w:vAlign w:val="top"/>
          </w:tcPr>
          <w:p>
            <w:pPr>
              <w:jc w:val="center"/>
              <w:rPr>
                <w:rFonts w:hint="eastAsia" w:ascii="宋体" w:hAnsi="宋体" w:eastAsia="宋体" w:cs="宋体"/>
                <w:sz w:val="20"/>
                <w:szCs w:val="20"/>
              </w:rPr>
            </w:pPr>
          </w:p>
        </w:tc>
      </w:tr>
      <w:tr>
        <w:trPr>
          <w:trHeight w:val="6642" w:hRule="atLeast"/>
        </w:trPr>
        <w:tc>
          <w:tcPr>
            <w:tcW w:w="611" w:type="dxa"/>
            <w:vMerge w:val="continue"/>
            <w:vAlign w:val="top"/>
          </w:tcPr>
          <w:p>
            <w:pPr>
              <w:jc w:val="center"/>
              <w:rPr>
                <w:rFonts w:hint="eastAsia" w:ascii="宋体" w:hAnsi="宋体" w:eastAsia="宋体" w:cs="宋体"/>
                <w:sz w:val="20"/>
                <w:szCs w:val="20"/>
              </w:rPr>
            </w:pPr>
          </w:p>
        </w:tc>
        <w:tc>
          <w:tcPr>
            <w:tcW w:w="1455" w:type="dxa"/>
            <w:tcBorders>
              <w:top w:val="single" w:color="000000" w:sz="4" w:space="0"/>
              <w:bottom w:val="single" w:color="000000" w:sz="4" w:space="0"/>
            </w:tcBorders>
            <w:vAlign w:val="center"/>
          </w:tcPr>
          <w:p>
            <w:pPr>
              <w:widowControl/>
              <w:jc w:val="center"/>
              <w:textAlignment w:val="center"/>
              <w:rPr>
                <w:rFonts w:hint="eastAsia" w:ascii="宋体" w:hAnsi="宋体" w:eastAsia="宋体" w:cs="宋体"/>
                <w:b w:val="0"/>
                <w:bCs/>
                <w:sz w:val="20"/>
                <w:szCs w:val="20"/>
              </w:rPr>
            </w:pPr>
            <w:r>
              <w:rPr>
                <w:rFonts w:hint="eastAsia" w:ascii="宋体" w:hAnsi="宋体" w:eastAsia="宋体" w:cs="宋体"/>
                <w:b w:val="0"/>
                <w:bCs/>
                <w:sz w:val="20"/>
                <w:szCs w:val="20"/>
              </w:rPr>
              <w:t>行政法规类</w:t>
            </w:r>
          </w:p>
        </w:tc>
        <w:tc>
          <w:tcPr>
            <w:tcW w:w="11188" w:type="dxa"/>
            <w:vAlign w:val="center"/>
          </w:tcPr>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《计划生育技术服务管理条例》（2001年6月13日中华人民共和国国务院令第309号公布,2004年12月10日修订）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《流动人口计划生育工作条例》（2009年4月29日国务院第60次常务会议通过）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《社会抚养费征收管理办法》（国务院令第357号现公布)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《护士条例》(2008年1月23日国务院第206次常务会议通过，自2008年5月12日起施行）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 xml:space="preserve">《乡村医生从业管理条例》（国务院第16次常务会议通过，2003年8月5日国务院令第386号公布，自2004年1月1日起施行）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《艾滋病防治条例》（2006年1月18日国务院第122次常务会议通过，自2006年3月1日起施行）</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《疫苗流通和预防接种管理条例》（中华人民共和国国务院于2005年3月24日颁布，2016年4月13日国务院第129次常务会议修改并通过）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《公共场所卫生管理条例》（1987年4月1日国务院发布，2016年1月13日国务院第119次常务会议修改并通过）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 xml:space="preserve">《突发公共卫生事件应急条例》（中华人民共和国国务院于2003年5月9日发布，2010年12月29日国务院第138次常务会议修订并通过）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《病原微生物实验室生物安全管理条例》（2004年11月5日国务院第69次常务会议通过的条例，由2004年11月12日中华人民共和国国务院令第424号公布）</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 xml:space="preserve">《医疗废物管理条例》（2003年6月4日国务院第十次常务会议通过，2003年6月16日发布，自公布之日起施行）                                                                           </w:t>
            </w:r>
          </w:p>
          <w:p>
            <w:pPr>
              <w:widowControl/>
              <w:numPr>
                <w:ilvl w:val="0"/>
                <w:numId w:val="2"/>
              </w:numPr>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《放射性同位素与射线装置安全和防护条例》(</w:t>
            </w:r>
            <w:r>
              <w:rPr>
                <w:rFonts w:hint="eastAsia" w:ascii="宋体" w:hAnsi="宋体" w:cs="宋体"/>
                <w:sz w:val="20"/>
                <w:szCs w:val="20"/>
                <w:lang w:val="en-US" w:eastAsia="zh-CN"/>
              </w:rPr>
              <w:t>2005</w:t>
            </w:r>
            <w:r>
              <w:rPr>
                <w:rFonts w:hint="eastAsia" w:ascii="宋体" w:hAnsi="宋体" w:eastAsia="宋体" w:cs="宋体"/>
                <w:sz w:val="20"/>
                <w:szCs w:val="20"/>
              </w:rPr>
              <w:t>年８月３１日国务院第</w:t>
            </w:r>
            <w:r>
              <w:rPr>
                <w:rFonts w:hint="eastAsia" w:ascii="宋体" w:hAnsi="宋体" w:cs="宋体"/>
                <w:sz w:val="20"/>
                <w:szCs w:val="20"/>
                <w:lang w:val="en-US" w:eastAsia="zh-CN"/>
              </w:rPr>
              <w:t>104</w:t>
            </w:r>
            <w:r>
              <w:rPr>
                <w:rFonts w:hint="eastAsia" w:ascii="宋体" w:hAnsi="宋体" w:eastAsia="宋体" w:cs="宋体"/>
                <w:sz w:val="20"/>
                <w:szCs w:val="20"/>
              </w:rPr>
              <w:t>次常务会议通过，现予公布，自</w:t>
            </w:r>
            <w:r>
              <w:rPr>
                <w:rFonts w:hint="eastAsia" w:ascii="宋体" w:hAnsi="宋体" w:cs="宋体"/>
                <w:sz w:val="20"/>
                <w:szCs w:val="20"/>
                <w:lang w:val="en-US" w:eastAsia="zh-CN"/>
              </w:rPr>
              <w:t>2005</w:t>
            </w:r>
            <w:r>
              <w:rPr>
                <w:rFonts w:hint="eastAsia" w:ascii="宋体" w:hAnsi="宋体" w:eastAsia="宋体" w:cs="宋体"/>
                <w:sz w:val="20"/>
                <w:szCs w:val="20"/>
              </w:rPr>
              <w:t>年</w:t>
            </w:r>
            <w:r>
              <w:rPr>
                <w:rFonts w:hint="eastAsia" w:ascii="宋体" w:hAnsi="宋体" w:cs="宋体"/>
                <w:sz w:val="20"/>
                <w:szCs w:val="20"/>
                <w:lang w:val="en-US" w:eastAsia="zh-CN"/>
              </w:rPr>
              <w:t>12</w:t>
            </w:r>
            <w:r>
              <w:rPr>
                <w:rFonts w:hint="eastAsia" w:ascii="宋体" w:hAnsi="宋体" w:eastAsia="宋体" w:cs="宋体"/>
                <w:sz w:val="20"/>
                <w:szCs w:val="20"/>
              </w:rPr>
              <w:t>月１日起施行。)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13.《医疗事故处理条例》(2002年2月20日国务院第55次常务会议通过，自2002年9月1日起施行)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14.《医疗机构管理条例》(1994年2月26日国务院令第149号发布，1994年9月1日起施行)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15.《麻醉药品和精神类药品管理条例》(2005年7月26日国务院第100次常务会议通过，2013年12月7日修订，中华人民共和国国务院第308号）</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16.《中华人民共和国中医药条例》（2003年4月2日国务院第3次常务会议通过，自2003年10月1日起施行）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17.《中药品种保护条例》（1992年10月14日中华人民共和国国务院令第106号发布，1993年1月1日起施行）</w:t>
            </w:r>
          </w:p>
          <w:p>
            <w:pPr>
              <w:widowControl/>
              <w:wordWrap/>
              <w:adjustRightInd/>
              <w:snapToGrid/>
              <w:spacing w:line="260" w:lineRule="exact"/>
              <w:ind w:left="105" w:leftChars="50" w:right="105" w:rightChars="50" w:firstLine="400" w:firstLineChars="200"/>
              <w:jc w:val="both"/>
              <w:textAlignment w:val="top"/>
              <w:outlineLvl w:val="9"/>
              <w:rPr>
                <w:rFonts w:hint="eastAsia" w:ascii="宋体" w:hAnsi="宋体" w:eastAsia="宋体" w:cs="宋体"/>
                <w:sz w:val="20"/>
                <w:szCs w:val="20"/>
              </w:rPr>
            </w:pPr>
            <w:r>
              <w:rPr>
                <w:rFonts w:hint="eastAsia" w:ascii="宋体" w:hAnsi="宋体" w:eastAsia="宋体" w:cs="宋体"/>
                <w:sz w:val="20"/>
                <w:szCs w:val="20"/>
              </w:rPr>
              <w:t>18.《</w:t>
            </w:r>
            <w:bookmarkStart w:id="0" w:name="_GoBack"/>
            <w:bookmarkEnd w:id="0"/>
            <w:r>
              <w:rPr>
                <w:rFonts w:hint="eastAsia" w:ascii="宋体" w:hAnsi="宋体" w:eastAsia="宋体" w:cs="宋体"/>
                <w:sz w:val="20"/>
                <w:szCs w:val="20"/>
              </w:rPr>
              <w:t>血液制品管理条例》（1996年12月30日中华人民共和国国务院令第208号发布，2016年2月6日修订）</w:t>
            </w:r>
          </w:p>
        </w:tc>
        <w:tc>
          <w:tcPr>
            <w:tcW w:w="1776"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2880"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2122"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960" w:type="dxa"/>
            <w:vMerge w:val="continue"/>
            <w:vAlign w:val="top"/>
          </w:tcPr>
          <w:p>
            <w:pPr>
              <w:jc w:val="center"/>
              <w:rPr>
                <w:rFonts w:hint="eastAsia" w:ascii="宋体" w:hAnsi="宋体" w:eastAsia="宋体" w:cs="宋体"/>
                <w:sz w:val="20"/>
                <w:szCs w:val="20"/>
              </w:rPr>
            </w:pPr>
          </w:p>
        </w:tc>
        <w:tc>
          <w:tcPr>
            <w:tcW w:w="716" w:type="dxa"/>
            <w:vMerge w:val="continue"/>
            <w:vAlign w:val="top"/>
          </w:tcPr>
          <w:p>
            <w:pPr>
              <w:jc w:val="center"/>
              <w:rPr>
                <w:rFonts w:hint="eastAsia" w:ascii="宋体" w:hAnsi="宋体" w:eastAsia="宋体" w:cs="宋体"/>
                <w:sz w:val="20"/>
                <w:szCs w:val="20"/>
              </w:rPr>
            </w:pPr>
          </w:p>
        </w:tc>
      </w:tr>
      <w:tr>
        <w:trPr>
          <w:trHeight w:val="2217" w:hRule="atLeast"/>
        </w:trPr>
        <w:tc>
          <w:tcPr>
            <w:tcW w:w="611" w:type="dxa"/>
            <w:vMerge w:val="continue"/>
            <w:vAlign w:val="top"/>
          </w:tcPr>
          <w:p>
            <w:pPr>
              <w:jc w:val="center"/>
              <w:rPr>
                <w:rFonts w:hint="eastAsia" w:ascii="宋体" w:hAnsi="宋体" w:eastAsia="宋体" w:cs="宋体"/>
                <w:sz w:val="20"/>
                <w:szCs w:val="20"/>
              </w:rPr>
            </w:pPr>
          </w:p>
        </w:tc>
        <w:tc>
          <w:tcPr>
            <w:tcW w:w="1455" w:type="dxa"/>
            <w:tcBorders>
              <w:top w:val="single" w:color="000000" w:sz="4" w:space="0"/>
              <w:bottom w:val="single" w:color="000000" w:sz="4" w:space="0"/>
            </w:tcBorders>
            <w:vAlign w:val="center"/>
          </w:tcPr>
          <w:p>
            <w:pPr>
              <w:widowControl/>
              <w:jc w:val="center"/>
              <w:textAlignment w:val="center"/>
              <w:rPr>
                <w:rFonts w:hint="eastAsia" w:ascii="宋体" w:hAnsi="宋体" w:eastAsia="宋体" w:cs="宋体"/>
                <w:b w:val="0"/>
                <w:bCs/>
                <w:sz w:val="20"/>
                <w:szCs w:val="20"/>
              </w:rPr>
            </w:pPr>
            <w:r>
              <w:rPr>
                <w:rFonts w:hint="eastAsia" w:ascii="宋体" w:hAnsi="宋体" w:eastAsia="宋体" w:cs="宋体"/>
                <w:b w:val="0"/>
                <w:bCs/>
                <w:sz w:val="20"/>
                <w:szCs w:val="20"/>
              </w:rPr>
              <w:t>地方性法规类</w:t>
            </w:r>
          </w:p>
        </w:tc>
        <w:tc>
          <w:tcPr>
            <w:tcW w:w="11188" w:type="dxa"/>
            <w:vAlign w:val="center"/>
          </w:tcPr>
          <w:p>
            <w:pPr>
              <w:widowControl w:val="0"/>
              <w:numPr>
                <w:ilvl w:val="0"/>
                <w:numId w:val="3"/>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《河南省母婴保健条例》（1995年9月6日河南省第八届人民代表大会常务委员会第十五次会议通过)                                                                              　　　　　　　　　　　　　　　　　　　　　　　　　　　　　</w:t>
            </w:r>
          </w:p>
          <w:p>
            <w:pPr>
              <w:widowControl w:val="0"/>
              <w:numPr>
                <w:ilvl w:val="0"/>
                <w:numId w:val="3"/>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《河南省人口与计划生育条例》（2002年11月30日河南省第九届人民代表大会常务委员会第三十一次会议通过，2016年5月27日河南省第十二届人民代表大会常务委员会第二十二次会议第四次修正）</w:t>
            </w:r>
          </w:p>
          <w:p>
            <w:pPr>
              <w:widowControl w:val="0"/>
              <w:numPr>
                <w:ilvl w:val="0"/>
                <w:numId w:val="3"/>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《河南省禁止非医学需要胎儿性别鉴定和选择性别人工终止妊娠条例》（2006年9月29日河南省第十届人民代表大会常务委员会第二十六次会议通过）</w:t>
            </w:r>
          </w:p>
          <w:p>
            <w:pPr>
              <w:widowControl w:val="0"/>
              <w:numPr>
                <w:ilvl w:val="0"/>
                <w:numId w:val="3"/>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《河南省中医条例》（1997年11月21日河南省第八届人民代表大会常务委员会第二十九次会议审议通过，自1998年1月1日起施行）</w:t>
            </w:r>
          </w:p>
        </w:tc>
        <w:tc>
          <w:tcPr>
            <w:tcW w:w="1776"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2880"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2122"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960" w:type="dxa"/>
            <w:vMerge w:val="continue"/>
            <w:vAlign w:val="top"/>
          </w:tcPr>
          <w:p>
            <w:pPr>
              <w:jc w:val="center"/>
              <w:rPr>
                <w:rFonts w:hint="eastAsia" w:ascii="宋体" w:hAnsi="宋体" w:eastAsia="宋体" w:cs="宋体"/>
                <w:sz w:val="20"/>
                <w:szCs w:val="20"/>
              </w:rPr>
            </w:pPr>
          </w:p>
        </w:tc>
        <w:tc>
          <w:tcPr>
            <w:tcW w:w="716" w:type="dxa"/>
            <w:vMerge w:val="continue"/>
            <w:vAlign w:val="top"/>
          </w:tcPr>
          <w:p>
            <w:pPr>
              <w:jc w:val="center"/>
              <w:rPr>
                <w:rFonts w:hint="eastAsia" w:ascii="宋体" w:hAnsi="宋体" w:eastAsia="宋体" w:cs="宋体"/>
                <w:sz w:val="20"/>
                <w:szCs w:val="20"/>
              </w:rPr>
            </w:pPr>
          </w:p>
        </w:tc>
      </w:tr>
      <w:tr>
        <w:trPr>
          <w:trHeight w:val="10668" w:hRule="atLeast"/>
        </w:trPr>
        <w:tc>
          <w:tcPr>
            <w:tcW w:w="611" w:type="dxa"/>
            <w:vMerge w:val="continue"/>
            <w:vAlign w:val="top"/>
          </w:tcPr>
          <w:p>
            <w:pPr>
              <w:jc w:val="center"/>
              <w:rPr>
                <w:rFonts w:hint="eastAsia" w:ascii="宋体" w:hAnsi="宋体" w:eastAsia="宋体" w:cs="宋体"/>
                <w:sz w:val="20"/>
                <w:szCs w:val="20"/>
              </w:rPr>
            </w:pPr>
          </w:p>
        </w:tc>
        <w:tc>
          <w:tcPr>
            <w:tcW w:w="1455" w:type="dxa"/>
            <w:tcBorders>
              <w:top w:val="single" w:color="000000" w:sz="4" w:space="0"/>
            </w:tcBorders>
            <w:vAlign w:val="center"/>
          </w:tcPr>
          <w:p>
            <w:pPr>
              <w:widowControl/>
              <w:jc w:val="center"/>
              <w:textAlignment w:val="center"/>
              <w:rPr>
                <w:rFonts w:hint="eastAsia" w:ascii="宋体" w:hAnsi="宋体" w:eastAsia="宋体" w:cs="宋体"/>
                <w:b w:val="0"/>
                <w:bCs/>
                <w:sz w:val="20"/>
                <w:szCs w:val="20"/>
              </w:rPr>
            </w:pPr>
            <w:r>
              <w:rPr>
                <w:rFonts w:hint="eastAsia" w:ascii="宋体" w:hAnsi="宋体" w:eastAsia="宋体" w:cs="宋体"/>
                <w:b w:val="0"/>
                <w:bCs/>
                <w:sz w:val="20"/>
                <w:szCs w:val="20"/>
              </w:rPr>
              <w:t>规章类</w:t>
            </w:r>
          </w:p>
        </w:tc>
        <w:tc>
          <w:tcPr>
            <w:tcW w:w="11188" w:type="dxa"/>
            <w:vAlign w:val="center"/>
          </w:tcPr>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《公共场所卫生管理条例实施细则》（2011年3月10日卫生部令第80号发布，2016年1月19日修改)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《医疗机构管理条例实施细则》(1994年中华人民共和国卫生部令第35号发布，2017年2月3日经国家卫生计生委委主任会议讨论通过修订，自2017年4月1日起施行）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《医师执业注册管理办法》（2017年2月3日经国家卫生计生委委主任会议讨论通过，自2017年4月1日起施行）</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《生活饮用水卫生监督管理办法》（1996年7月9日中华共和国建设部、卫生部第53号令发布，1997年1月1日起施行）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《学校卫生工作条例》(1990年4月25日国务院批准，1990年6月4日国家教育委员会令第10号、卫生部令第1号发布）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《消毒管理办法》（2001年12月29日部务会通过，自2002年7月1日起施行。1992年8月31日发布的《消毒管理办法》同时废止。）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《医疗机构临床用血管理办法》（2012年6月7日卫生部令第85号公布 自2012年8月1日起施行）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《中外合资、合作医疗机构管理暂行办法》（中华人民共和国卫生部、中华人民共和国对外贸易经济合作部令 第 11 号，自2000年7月1日起施行。《〈中外合资、合作医疗机构管理暂行办法〉的补充规定二》经卫生部、商务部审议通过，自2009年1月1日起施行）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《河南省医疗机构管理办法》（1997年8月13日由河南省人民政府颁布）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《医师执业注册暂行办法》（卫生部令第5号 1999年7月16日颁布实施）</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《护士执业注册管理办法》（2008年5月4日经卫生部部务会议讨论通过，自2008年5月12日起施行）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《外来医师来华短期行医暂行管理办法》（1992年9月8日经第十三次部长办公会议通过，自1993年1月1日起施行）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《禁止非医学需要的胎儿性别鉴定和选择性别人工终止妊娠的规定》(国家卫生和计划生育委员会令第9号,2016年5月1日施行)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《卫生行政许可管理办法》（2004年7月23日经卫生部部务会议讨论通过，现予以发布，自发布之日起施行）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《香港和澳门特别行政区医师获得内地医师资格认定管理办法》（2009年4月15日卫生部、国家中医药管理局发布）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《医疗用毒性药品管理办法》（1988年11月15日国务院第二十五次常务会议通过，1988年12月27日发布施行）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《医疗美容服务管理办法》(2002年1月22日卫生部令第19号发布，2016年1月19日修改))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《医疗卫生机构医疗废物管理办法》（2003年8月14日经卫生部部务会议讨论通过，2003年10月15日发布实施）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《医师外出会诊管理暂行规定》（2004年12月16日经卫生部部务会议讨论通过，并商国家发展和改革委员会同意，自2005年7月1日起施行）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《医疗机构临床实验室管理办法》（2006年2月27日卫生部发布，自2006年6月1日起施行）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《医院感染管理办法》（2006年6月15日经卫生部部务会议讨论通过，自2006年9月1日起施行）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《医疗广告管理办法》（中华人民共和国国家工商行政管理总局 中华人民共和国卫生部令第26号）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《处方管理办法》（2006年11月27日经卫生部部务会议讨论通过，现予发布，自2007年5月1日起施行）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《医疗机构评审办法》（1995年7月21日卫生部发布，1997年9月1日卫生部修订）《医师资格考试暂行办法》（中华人民共和国卫生部令（第4号），1999年7月16日发布）                                                                         　　　　　　　　　　　　　　　　　　　　　　　　　　　　　　　　　　　　　　　　　　　　　　　　　　　　　　　　　　　　　　　　　　　　　　　　　　　　　　　　　　　　　　</w:t>
            </w:r>
          </w:p>
          <w:p>
            <w:pPr>
              <w:widowControl w:val="0"/>
              <w:numPr>
                <w:ilvl w:val="0"/>
                <w:numId w:val="4"/>
              </w:numPr>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《可感染人类的高致病性病原微生物菌（毒）种或样本运输管理规定》（2005年11月24日经卫生部部务会议讨论通过，现予以发布，自2006年2月1日起施行) </w:t>
            </w:r>
          </w:p>
          <w:p>
            <w:pPr>
              <w:widowControl w:val="0"/>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2</w:t>
            </w:r>
            <w:r>
              <w:rPr>
                <w:rFonts w:hint="eastAsia" w:ascii="宋体" w:hAnsi="宋体" w:cs="宋体"/>
                <w:sz w:val="20"/>
                <w:szCs w:val="20"/>
                <w:lang w:val="en-US" w:eastAsia="zh-CN"/>
              </w:rPr>
              <w:t>6</w:t>
            </w:r>
            <w:r>
              <w:rPr>
                <w:rFonts w:hint="eastAsia" w:ascii="宋体" w:hAnsi="宋体" w:eastAsia="宋体" w:cs="宋体"/>
                <w:sz w:val="20"/>
                <w:szCs w:val="20"/>
              </w:rPr>
              <w:t xml:space="preserve">.《人间传染的高致病性病原微生物实验室和实验活动生物安全审批管理办法》(2006年7月10日经卫生部部务会议讨论通过，自发布之日起施行) </w:t>
            </w:r>
          </w:p>
          <w:p>
            <w:pPr>
              <w:widowControl w:val="0"/>
              <w:wordWrap/>
              <w:adjustRightInd/>
              <w:snapToGrid/>
              <w:spacing w:line="260" w:lineRule="exact"/>
              <w:ind w:left="0" w:leftChars="0" w:right="0" w:firstLine="40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2</w:t>
            </w:r>
            <w:r>
              <w:rPr>
                <w:rFonts w:hint="eastAsia" w:ascii="宋体" w:hAnsi="宋体" w:cs="宋体"/>
                <w:sz w:val="20"/>
                <w:szCs w:val="20"/>
                <w:lang w:val="en-US" w:eastAsia="zh-CN"/>
              </w:rPr>
              <w:t>7</w:t>
            </w:r>
            <w:r>
              <w:rPr>
                <w:rFonts w:hint="eastAsia" w:ascii="宋体" w:hAnsi="宋体" w:eastAsia="宋体" w:cs="宋体"/>
                <w:sz w:val="20"/>
                <w:szCs w:val="20"/>
              </w:rPr>
              <w:t>.《香港、澳门特别行政区医师在内地短期行医管理规定》（2008年3月12日经卫生部部务会议讨论通过，自2009年3月1日起施行）</w:t>
            </w:r>
          </w:p>
        </w:tc>
        <w:tc>
          <w:tcPr>
            <w:tcW w:w="1776"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2880"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2122" w:type="dxa"/>
            <w:vMerge w:val="continue"/>
            <w:vAlign w:val="top"/>
          </w:tcPr>
          <w:p>
            <w:pPr>
              <w:wordWrap/>
              <w:adjustRightInd/>
              <w:snapToGrid/>
              <w:spacing w:line="340" w:lineRule="exact"/>
              <w:jc w:val="center"/>
              <w:rPr>
                <w:rFonts w:hint="eastAsia" w:ascii="宋体" w:hAnsi="宋体" w:eastAsia="宋体" w:cs="宋体"/>
                <w:sz w:val="20"/>
                <w:szCs w:val="20"/>
              </w:rPr>
            </w:pPr>
          </w:p>
        </w:tc>
        <w:tc>
          <w:tcPr>
            <w:tcW w:w="960" w:type="dxa"/>
            <w:vMerge w:val="continue"/>
            <w:vAlign w:val="top"/>
          </w:tcPr>
          <w:p>
            <w:pPr>
              <w:jc w:val="center"/>
              <w:rPr>
                <w:rFonts w:hint="eastAsia" w:ascii="宋体" w:hAnsi="宋体" w:eastAsia="宋体" w:cs="宋体"/>
                <w:sz w:val="20"/>
                <w:szCs w:val="20"/>
              </w:rPr>
            </w:pPr>
          </w:p>
        </w:tc>
        <w:tc>
          <w:tcPr>
            <w:tcW w:w="716" w:type="dxa"/>
            <w:vMerge w:val="continue"/>
            <w:vAlign w:val="top"/>
          </w:tcPr>
          <w:p>
            <w:pPr>
              <w:jc w:val="center"/>
              <w:rPr>
                <w:rFonts w:hint="eastAsia" w:ascii="宋体" w:hAnsi="宋体" w:eastAsia="宋体" w:cs="宋体"/>
                <w:sz w:val="20"/>
                <w:szCs w:val="20"/>
              </w:rPr>
            </w:pPr>
          </w:p>
        </w:tc>
      </w:tr>
    </w:tbl>
    <w:p>
      <w:pPr>
        <w:rPr>
          <w:rFonts w:hint="eastAsia"/>
          <w:sz w:val="20"/>
          <w:szCs w:val="20"/>
          <w:lang w:val="en-US" w:eastAsia="zh-CN"/>
        </w:rPr>
      </w:pPr>
    </w:p>
    <w:sectPr>
      <w:footerReference r:id="rId4" w:type="default"/>
      <w:pgSz w:w="23760" w:h="16781" w:orient="landscape"/>
      <w:pgMar w:top="1134" w:right="1134" w:bottom="1134" w:left="1134" w:header="851" w:footer="992" w:gutter="0"/>
      <w:pgBorders>
        <w:top w:val="none" w:color="auto" w:sz="0" w:space="0"/>
        <w:left w:val="none" w:color="auto" w:sz="0" w:space="0"/>
        <w:bottom w:val="none" w:color="auto" w:sz="0" w:space="0"/>
        <w:right w:val="none" w:color="auto" w:sz="0" w:space="0"/>
      </w:pgBorders>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1" w:usb1="080E0000" w:usb2="00000000" w:usb3="00000000" w:csb0="00040000" w:csb1="00000000"/>
  </w:font>
  <w:font w:name="方正魏碑简体">
    <w:altName w:val="宋体"/>
    <w:panose1 w:val="02010601030101010101"/>
    <w:charset w:val="86"/>
    <w:family w:val="auto"/>
    <w:pitch w:val="default"/>
    <w:sig w:usb0="00000001" w:usb1="080E0000" w:usb2="00000000" w:usb3="00000000" w:csb0="00040000" w:csb1="00000000"/>
  </w:font>
  <w:font w:name="华文行楷">
    <w:altName w:val="微软雅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287" w:usb1="080F0000" w:usb2="00000000" w:usb3="00000000" w:csb0="0004009F" w:csb1="DFD70000"/>
  </w:font>
  <w:font w:name="华文彩云">
    <w:altName w:val="微软雅黑"/>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华文新魏">
    <w:altName w:val="宋体"/>
    <w:panose1 w:val="02010800040101010101"/>
    <w:charset w:val="86"/>
    <w:family w:val="auto"/>
    <w:pitch w:val="default"/>
    <w:sig w:usb0="00000001" w:usb1="080F0000" w:usb2="00000000" w:usb3="00000000" w:csb0="00040000" w:csb1="00000000"/>
  </w:font>
  <w:font w:name="华文琥珀">
    <w:altName w:val="宋体"/>
    <w:panose1 w:val="02010800040101010101"/>
    <w:charset w:val="86"/>
    <w:family w:val="auto"/>
    <w:pitch w:val="default"/>
    <w:sig w:usb0="00000001" w:usb1="080F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华文隶书">
    <w:altName w:val="微软雅黑"/>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10000000" w:usb2="00000000" w:usb3="00000000" w:csb0="00040000" w:csb1="00000000"/>
  </w:font>
  <w:font w:name="宋体-方正超大字符集">
    <w:altName w:val="宋体"/>
    <w:panose1 w:val="03000509000000000000"/>
    <w:charset w:val="86"/>
    <w:family w:val="auto"/>
    <w:pitch w:val="default"/>
    <w:sig w:usb0="00000001" w:usb1="080E0000" w:usb2="00000000" w:usb3="00000000" w:csb0="00040000" w:csb1="00000000"/>
  </w:font>
  <w:font w:name="幼圆">
    <w:altName w:val="宋体"/>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楷繁体">
    <w:altName w:val="宋体"/>
    <w:panose1 w:val="02010601030101010101"/>
    <w:charset w:val="86"/>
    <w:family w:val="auto"/>
    <w:pitch w:val="default"/>
    <w:sig w:usb0="00000001" w:usb1="080E0000" w:usb2="00000000" w:usb3="00000000" w:csb0="00040000" w:csb1="00000000"/>
  </w:font>
  <w:font w:name="方正中等线简体">
    <w:altName w:val="宋体"/>
    <w:panose1 w:val="02010601030101010101"/>
    <w:charset w:val="86"/>
    <w:family w:val="auto"/>
    <w:pitch w:val="default"/>
    <w:sig w:usb0="00000001" w:usb1="080E0000" w:usb2="00000000" w:usb3="00000000" w:csb0="00040000" w:csb1="00000000"/>
  </w:font>
  <w:font w:name="方正书宋简体">
    <w:altName w:val="宋体"/>
    <w:panose1 w:val="02010601030101010101"/>
    <w:charset w:val="86"/>
    <w:family w:val="auto"/>
    <w:pitch w:val="default"/>
    <w:sig w:usb0="00000001" w:usb1="080E0000" w:usb2="00000000" w:usb3="00000000" w:csb0="00040000" w:csb1="00000000"/>
  </w:font>
  <w:font w:name="方正书宋繁体">
    <w:altName w:val="宋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00" w:usb3="00000000" w:csb0="00040000" w:csb1="00000000"/>
  </w:font>
  <w:font w:name="方正仿宋繁体">
    <w:altName w:val="仿宋"/>
    <w:panose1 w:val="02010601030101010101"/>
    <w:charset w:val="86"/>
    <w:family w:val="auto"/>
    <w:pitch w:val="default"/>
    <w:sig w:usb0="00000001" w:usb1="080E0000" w:usb2="00000000" w:usb3="00000000" w:csb0="00040000" w:csb1="00000000"/>
  </w:font>
  <w:font w:name="方正北魏楷书繁体">
    <w:altName w:val="宋体"/>
    <w:panose1 w:val="03000509000000000000"/>
    <w:charset w:val="86"/>
    <w:family w:val="auto"/>
    <w:pitch w:val="default"/>
    <w:sig w:usb0="00000001" w:usb1="080E0000" w:usb2="00000000" w:usb3="00000000" w:csb0="00040000" w:csb1="00000000"/>
  </w:font>
  <w:font w:name="方正古隶简体">
    <w:altName w:val="宋体"/>
    <w:panose1 w:val="03000509000000000000"/>
    <w:charset w:val="86"/>
    <w:family w:val="auto"/>
    <w:pitch w:val="default"/>
    <w:sig w:usb0="00000001" w:usb1="080E0000" w:usb2="00000000" w:usb3="00000000" w:csb0="00040000" w:csb1="00000000"/>
  </w:font>
  <w:font w:name="方正启体简体">
    <w:altName w:val="宋体"/>
    <w:panose1 w:val="03000509000000000000"/>
    <w:charset w:val="86"/>
    <w:family w:val="auto"/>
    <w:pitch w:val="default"/>
    <w:sig w:usb0="00000001" w:usb1="080E0000" w:usb2="00000000" w:usb3="00000000" w:csb0="00040000" w:csb1="00000000"/>
  </w:font>
  <w:font w:name="方正大标宋繁体">
    <w:altName w:val="宋体"/>
    <w:panose1 w:val="02010601030101010101"/>
    <w:charset w:val="86"/>
    <w:family w:val="auto"/>
    <w:pitch w:val="default"/>
    <w:sig w:usb0="00000001" w:usb1="080E0000" w:usb2="00000000" w:usb3="00000000" w:csb0="00040000" w:csb1="00000000"/>
  </w:font>
  <w:font w:name="方正姚体简体">
    <w:altName w:val="宋体"/>
    <w:panose1 w:val="02010601030101010101"/>
    <w:charset w:val="86"/>
    <w:family w:val="auto"/>
    <w:pitch w:val="default"/>
    <w:sig w:usb0="00000001" w:usb1="080E0000" w:usb2="00000000" w:usb3="00000000" w:csb0="00040000" w:csb1="00000000"/>
  </w:font>
  <w:font w:name="方正少儿简体">
    <w:altName w:val="宋体"/>
    <w:panose1 w:val="03000509000000000000"/>
    <w:charset w:val="86"/>
    <w:family w:val="auto"/>
    <w:pitch w:val="default"/>
    <w:sig w:usb0="00000001" w:usb1="080E0000" w:usb2="00000000" w:usb3="00000000" w:csb0="00040000" w:csb1="00000000"/>
  </w:font>
  <w:font w:name="方正彩云繁体">
    <w:altName w:val="宋体"/>
    <w:panose1 w:val="02010601030101010101"/>
    <w:charset w:val="86"/>
    <w:family w:val="auto"/>
    <w:pitch w:val="default"/>
    <w:sig w:usb0="00000001" w:usb1="080E0000" w:usb2="00000000" w:usb3="00000000" w:csb0="00040000" w:csb1="00000000"/>
  </w:font>
  <w:font w:name="方正稚艺繁体">
    <w:altName w:val="宋体"/>
    <w:panose1 w:val="03000509000000000000"/>
    <w:charset w:val="86"/>
    <w:family w:val="auto"/>
    <w:pitch w:val="default"/>
    <w:sig w:usb0="00000001" w:usb1="080E0000" w:usb2="00000000" w:usb3="00000000" w:csb0="00040000" w:csb1="00000000"/>
  </w:font>
  <w:font w:name="方正粗雅宋_GBK">
    <w:altName w:val="宋体"/>
    <w:panose1 w:val="02000000000000000000"/>
    <w:charset w:val="86"/>
    <w:family w:val="auto"/>
    <w:pitch w:val="default"/>
    <w:sig w:usb0="00000001" w:usb1="08000000" w:usb2="00000000" w:usb3="00000000" w:csb0="00040000" w:csb1="00000000"/>
  </w:font>
  <w:font w:name="方正细圆繁体">
    <w:altName w:val="宋体"/>
    <w:panose1 w:val="02010601030101010101"/>
    <w:charset w:val="86"/>
    <w:family w:val="auto"/>
    <w:pitch w:val="default"/>
    <w:sig w:usb0="00000001" w:usb1="080E0000" w:usb2="00000000" w:usb3="00000000" w:csb0="00040000" w:csb1="00000000"/>
  </w:font>
  <w:font w:name="方正隶二简体">
    <w:altName w:val="宋体"/>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RomanS">
    <w:altName w:val="Segoe UI Light"/>
    <w:panose1 w:val="02000400000000000000"/>
    <w:charset w:val="00"/>
    <w:family w:val="auto"/>
    <w:pitch w:val="default"/>
    <w:sig w:usb0="00000207" w:usb1="00000000" w:usb2="00000000" w:usb3="00000000" w:csb0="000001F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00"/>
    <w:family w:val="auto"/>
    <w:pitch w:val="default"/>
    <w:sig w:usb0="80000287" w:usb1="280F3C52" w:usb2="00000016" w:usb3="00000000" w:csb0="0004001F" w:csb1="00000000"/>
  </w:font>
  <w:font w:name="Segoe UI Light">
    <w:panose1 w:val="020B0502040204020203"/>
    <w:charset w:val="00"/>
    <w:family w:val="auto"/>
    <w:pitch w:val="default"/>
    <w:sig w:usb0="E00002FF" w:usb1="4000A47B"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
    <w:nsid w:val="00000010"/>
    <w:multiLevelType w:val="singleLevel"/>
    <w:tmpl w:val="00000010"/>
    <w:lvl w:ilvl="0" w:tentative="1">
      <w:start w:val="1"/>
      <w:numFmt w:val="decimal"/>
      <w:suff w:val="nothing"/>
      <w:lvlText w:val="%1."/>
      <w:lvlJc w:val="left"/>
    </w:lvl>
  </w:abstractNum>
  <w:abstractNum w:abstractNumId="17">
    <w:nsid w:val="00000011"/>
    <w:multiLevelType w:val="singleLevel"/>
    <w:tmpl w:val="00000011"/>
    <w:lvl w:ilvl="0" w:tentative="1">
      <w:start w:val="1"/>
      <w:numFmt w:val="decimal"/>
      <w:suff w:val="nothing"/>
      <w:lvlText w:val="%1."/>
      <w:lvlJc w:val="left"/>
    </w:lvl>
  </w:abstractNum>
  <w:abstractNum w:abstractNumId="18">
    <w:nsid w:val="00000012"/>
    <w:multiLevelType w:val="singleLevel"/>
    <w:tmpl w:val="00000012"/>
    <w:lvl w:ilvl="0" w:tentative="1">
      <w:start w:val="1"/>
      <w:numFmt w:val="decimal"/>
      <w:suff w:val="nothing"/>
      <w:lvlText w:val="%1."/>
      <w:lvlJc w:val="left"/>
    </w:lvl>
  </w:abstractNum>
  <w:abstractNum w:abstractNumId="19">
    <w:nsid w:val="00000013"/>
    <w:multiLevelType w:val="singleLevel"/>
    <w:tmpl w:val="00000013"/>
    <w:lvl w:ilvl="0" w:tentative="1">
      <w:start w:val="5"/>
      <w:numFmt w:val="decimal"/>
      <w:suff w:val="nothing"/>
      <w:lvlText w:val="%1."/>
      <w:lvlJc w:val="left"/>
    </w:lvl>
  </w:abstractNum>
  <w:num w:numId="1">
    <w:abstractNumId w:val="19"/>
  </w:num>
  <w:num w:numId="2">
    <w:abstractNumId w:val="16"/>
  </w:num>
  <w:num w:numId="3">
    <w:abstractNumId w:val="17"/>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Normal (Web)"/>
    <w:basedOn w:val="1"/>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2017-08-18T18:15:00Z</dcterms:created>
  <dc:creator>Administrator</dc:creator>
  <cp:lastPrinted>2017-08-22T15:36:00Z</cp:lastPrinted>
  <dcterms:modified xsi:type="dcterms:W3CDTF">2017-08-22T15:36:04Z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